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480"/>
        <w:jc w:val="center"/>
        <w:rPr>
          <w:rFonts w:hint="eastAsia" w:ascii="宋体" w:hAnsi="宋体"/>
          <w:b/>
          <w:bCs/>
          <w:color w:val="000000"/>
          <w:sz w:val="32"/>
          <w:szCs w:val="32"/>
        </w:rPr>
      </w:pPr>
      <w:bookmarkStart w:id="0" w:name="OLE_LINK1"/>
      <w:r>
        <w:rPr>
          <w:rFonts w:hint="eastAsia" w:ascii="宋体" w:hAnsi="宋体"/>
          <w:b/>
          <w:bCs/>
          <w:color w:val="000000"/>
          <w:sz w:val="32"/>
          <w:szCs w:val="32"/>
        </w:rPr>
        <w:t>拍 卖 规 则</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一、本拍卖规则依据《中华人民共和国拍卖法》、《中华人民共和国民法通则》、《中华人民共和国合同法》等相关法律法规和“公开、公平、公正、诚实信用”原则及价高者得规则制定。</w:t>
      </w:r>
    </w:p>
    <w:p>
      <w:pPr>
        <w:pStyle w:val="10"/>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二、本场拍卖会采用洪力共享拍卖平台（公众号：洪力，电脑端：www.honglipai.net）进行，竞买人应自行注册网络拍卖平台账号，竞买人参加本场拍卖会即视为同意认可本拍卖规则和竞买协议内容。由于网络环境因素，网络拍卖过程中，如遇不可抗力，包括但不限于网络不通畅、网络拍卖平台出现故障、黑客攻击等事由可能会出现信息中断、竞价时间不完整、图文变异、系统瘫痪、竞买人无法在网上出价等情形，导致拍卖会无法正常进行，拍卖人有权延迟和（或）暂停另行举行拍卖会。若竞价记录可以恢复的，重新启动拍卖后，起始价为网络中断时的最高有效报价；若竞价记录无法恢复的，起拍价为标的起始价。如个别竞买人自身操作问题导致无法参加竞买的，由竞买人自负其责。委托人和拍卖人不承担任何责任。通过洪力共享拍卖平台进行网络拍卖的竞买人，承诺已经对可能发生的故障有充分准备，并放弃因此类故障要求委托人和拍卖人承担任何赔偿责任。竞买人应保管好自己的账号和密码，凡在洪力共享拍卖平台上以竞买人的帐号和密码登陆后进行的操作，均被视为竞买人的行为，竞买人应当对以其帐号进行的所有活动和事件负法律责任。</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b/>
          <w:bCs/>
          <w:i w:val="0"/>
          <w:caps w:val="0"/>
          <w:color w:val="333333"/>
          <w:spacing w:val="0"/>
          <w:kern w:val="0"/>
          <w:sz w:val="24"/>
          <w:szCs w:val="24"/>
          <w:u w:val="single"/>
          <w:shd w:val="clear" w:fill="FFFFFF"/>
          <w:lang w:val="en-US" w:eastAsia="zh-CN" w:bidi="ar"/>
        </w:rPr>
      </w:pPr>
      <w:r>
        <w:rPr>
          <w:rFonts w:hint="eastAsia" w:ascii="宋体" w:hAnsi="宋体" w:eastAsia="宋体" w:cs="宋体"/>
          <w:b w:val="0"/>
          <w:bCs w:val="0"/>
          <w:i w:val="0"/>
          <w:caps w:val="0"/>
          <w:color w:val="333333"/>
          <w:spacing w:val="0"/>
          <w:kern w:val="0"/>
          <w:sz w:val="24"/>
          <w:szCs w:val="24"/>
          <w:u w:val="none"/>
          <w:shd w:val="clear" w:fill="FFFFFF"/>
          <w:lang w:val="en-US" w:eastAsia="zh-CN" w:bidi="ar"/>
        </w:rPr>
        <w:t>三、本场拍卖会的拍卖标的为</w:t>
      </w:r>
      <w:r>
        <w:rPr>
          <w:rFonts w:hint="eastAsia" w:ascii="宋体" w:hAnsi="宋体" w:eastAsia="宋体" w:cs="宋体"/>
          <w:b/>
          <w:bCs/>
          <w:i w:val="0"/>
          <w:caps w:val="0"/>
          <w:color w:val="333333"/>
          <w:spacing w:val="0"/>
          <w:kern w:val="0"/>
          <w:sz w:val="24"/>
          <w:szCs w:val="24"/>
          <w:u w:val="single"/>
          <w:shd w:val="clear" w:fill="FFFFFF"/>
          <w:lang w:val="en-US" w:eastAsia="zh-CN" w:bidi="ar"/>
        </w:rPr>
        <w:t>中国长城资产管理股份有限公司山东省分公司拥有的山东亿诺工程轮胎有限公司等27户债权（详见拍卖清单），截至2019年10月20日，债权总额为330,864,758.89元，其中：本金：215,041,527.53元，利息：115,823,231.36元(2019年10月20日之后产生的利息，以及与不良贷款债权相关的从权利亦在本次处置范围内)，现状拍卖。</w:t>
      </w:r>
      <w:r>
        <w:rPr>
          <w:rFonts w:hint="eastAsia" w:ascii="宋体" w:hAnsi="宋体" w:eastAsia="宋体" w:cs="宋体"/>
          <w:b/>
          <w:bCs/>
          <w:i w:val="0"/>
          <w:caps w:val="0"/>
          <w:color w:val="333333"/>
          <w:spacing w:val="0"/>
          <w:kern w:val="0"/>
          <w:sz w:val="24"/>
          <w:szCs w:val="24"/>
          <w:u w:val="single"/>
          <w:shd w:val="clear" w:fill="FFFFFF"/>
          <w:lang w:val="en-US" w:eastAsia="zh-CN" w:bidi="ar"/>
        </w:rPr>
        <w:t>最终债权金额、担保等情况以委托人与买受人签署的《债权转让协议》和双方移交材料为准，拍卖人提供的相关资料仅供参考。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787" w:firstLineChars="328"/>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竞买人为信誉良好，能够承担购买债权所带来的风险，具有完全民事行为能力、支付能力的法人、组织或自然人。</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宋体" w:hAnsi="宋体" w:eastAsia="宋体" w:cs="宋体"/>
          <w:i w:val="0"/>
          <w:caps w:val="0"/>
          <w:color w:val="333333"/>
          <w:spacing w:val="0"/>
          <w:sz w:val="24"/>
          <w:szCs w:val="24"/>
          <w:shd w:val="clear" w:color="auto" w:fill="FFFFFF"/>
          <w:lang w:val="en-US" w:eastAsia="zh-CN"/>
        </w:rPr>
      </w:pPr>
      <w:r>
        <w:rPr>
          <w:rFonts w:hint="eastAsia" w:ascii="宋体" w:hAnsi="宋体" w:eastAsia="宋体" w:cs="宋体"/>
          <w:i w:val="0"/>
          <w:caps w:val="0"/>
          <w:color w:val="333333"/>
          <w:spacing w:val="0"/>
          <w:sz w:val="24"/>
          <w:szCs w:val="24"/>
          <w:shd w:val="clear" w:fill="FFFFFF"/>
        </w:rPr>
        <w:t> 以下人员不得购买：</w:t>
      </w:r>
      <w:r>
        <w:rPr>
          <w:rFonts w:hint="eastAsia" w:ascii="宋体" w:hAnsi="宋体" w:eastAsia="宋体" w:cs="宋体"/>
          <w:i w:val="0"/>
          <w:caps w:val="0"/>
          <w:color w:val="333333"/>
          <w:spacing w:val="0"/>
          <w:sz w:val="24"/>
          <w:szCs w:val="24"/>
          <w:shd w:val="clear" w:color="auto" w:fill="FFFFFF"/>
          <w:lang w:eastAsia="zh-CN"/>
        </w:rPr>
        <w:t>根据</w:t>
      </w:r>
      <w:r>
        <w:rPr>
          <w:rFonts w:hint="eastAsia" w:ascii="宋体" w:hAnsi="宋体" w:eastAsia="宋体" w:cs="宋体"/>
          <w:i w:val="0"/>
          <w:caps w:val="0"/>
          <w:color w:val="333333"/>
          <w:spacing w:val="0"/>
          <w:sz w:val="24"/>
          <w:szCs w:val="24"/>
          <w:shd w:val="clear" w:color="auto" w:fill="FFFFFF"/>
        </w:rPr>
        <w:t>最高人民法院《关于审理涉及金融不良债权转让案件工作座谈会纪要》所规定</w:t>
      </w:r>
      <w:r>
        <w:rPr>
          <w:rFonts w:hint="eastAsia" w:ascii="宋体" w:hAnsi="宋体" w:eastAsia="宋体" w:cs="宋体"/>
          <w:i w:val="0"/>
          <w:caps w:val="0"/>
          <w:color w:val="333333"/>
          <w:spacing w:val="0"/>
          <w:sz w:val="24"/>
          <w:szCs w:val="24"/>
          <w:shd w:val="clear" w:color="auto" w:fill="FFFFFF"/>
          <w:lang w:eastAsia="zh-CN"/>
        </w:rPr>
        <w:t>，</w:t>
      </w:r>
      <w:r>
        <w:rPr>
          <w:rFonts w:hint="eastAsia" w:ascii="宋体" w:hAnsi="宋体" w:eastAsia="宋体" w:cs="宋体"/>
          <w:i w:val="0"/>
          <w:caps w:val="0"/>
          <w:color w:val="333333"/>
          <w:spacing w:val="0"/>
          <w:sz w:val="24"/>
          <w:szCs w:val="24"/>
          <w:shd w:val="clear" w:color="auto" w:fill="FFFFFF"/>
        </w:rPr>
        <w:t>国家公务员、金融监管机构工作人员、政法干警、金融资产管理公司工作人员、国有企业债务人管理人员、参与资产处置工作的律师、会计师、评估师等中介机构等关联人或者上述机构参与的非金融机构法人等受限制的受让主体，与本次“不良债权转让的金融资产管理公司工作人员、国有企业债务人或者受托资产评估机构负责人员等”存在任何直系亲属关系</w:t>
      </w:r>
      <w:r>
        <w:rPr>
          <w:rFonts w:hint="eastAsia" w:ascii="宋体" w:hAnsi="宋体" w:eastAsia="宋体" w:cs="宋体"/>
          <w:i w:val="0"/>
          <w:caps w:val="0"/>
          <w:color w:val="333333"/>
          <w:spacing w:val="0"/>
          <w:sz w:val="24"/>
          <w:szCs w:val="24"/>
          <w:shd w:val="clear" w:color="auto" w:fill="FFFFFF"/>
          <w:lang w:eastAsia="zh-CN"/>
        </w:rPr>
        <w:t>人员</w:t>
      </w:r>
      <w:r>
        <w:rPr>
          <w:rFonts w:hint="eastAsia" w:ascii="宋体" w:hAnsi="宋体" w:eastAsia="宋体" w:cs="宋体"/>
          <w:i w:val="0"/>
          <w:caps w:val="0"/>
          <w:color w:val="333333"/>
          <w:spacing w:val="0"/>
          <w:sz w:val="24"/>
          <w:szCs w:val="24"/>
          <w:shd w:val="clear" w:color="auto" w:fill="FFFFFF"/>
        </w:rPr>
        <w:t>等</w:t>
      </w:r>
      <w:r>
        <w:rPr>
          <w:rFonts w:hint="eastAsia" w:ascii="宋体" w:hAnsi="宋体" w:eastAsia="宋体" w:cs="宋体"/>
          <w:i w:val="0"/>
          <w:caps w:val="0"/>
          <w:color w:val="333333"/>
          <w:spacing w:val="0"/>
          <w:sz w:val="24"/>
          <w:szCs w:val="24"/>
          <w:shd w:val="clear" w:color="auto" w:fill="FFFFFF"/>
          <w:lang w:val="en-US"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竞买人承诺不属于上述人员，如对自己的身份有所隐瞒，由此所产生的一切责任均由竞买人自行承担（如果上述人员隐瞒身份竞买成功，委托人和拍卖人发现其真实身份后有权取消其买受人资格，并追究其法律责任。）。</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微软雅黑" w:hAnsi="微软雅黑" w:eastAsia="宋体" w:cs="微软雅黑"/>
          <w:i w:val="0"/>
          <w:caps w:val="0"/>
          <w:color w:val="333333"/>
          <w:spacing w:val="0"/>
          <w:sz w:val="21"/>
          <w:szCs w:val="21"/>
          <w:lang w:eastAsia="zh-CN"/>
        </w:rPr>
      </w:pPr>
      <w:r>
        <w:rPr>
          <w:rFonts w:hint="eastAsia" w:ascii="宋体" w:hAnsi="宋体" w:eastAsia="宋体" w:cs="宋体"/>
          <w:i w:val="0"/>
          <w:caps w:val="0"/>
          <w:color w:val="333333"/>
          <w:spacing w:val="0"/>
          <w:sz w:val="24"/>
          <w:szCs w:val="24"/>
          <w:shd w:val="clear" w:fill="FFFFFF"/>
        </w:rPr>
        <w:t>四、本次拍卖按拍卖标的实物现状进行，拍卖人已知的标的瑕疵已经告知竞买人，拍卖人不承担瑕疵担保责任，竞买人须于拍卖会前自行认真了解标的情况，自行核对标的相关信息，拍卖人提供的拍卖标的的相关资料仅供参考，由于竞买人对标的了解不彻底所造成的损失与拍卖人、委托人无关，委托人和拍卖人对以上事项不承担任何责任和费用。买受人的竞买保证金转为部分拍卖成交价款，不再退还。竞买不成功的，保证金在拍卖会后</w:t>
      </w:r>
      <w:r>
        <w:rPr>
          <w:rFonts w:hint="eastAsia" w:ascii="宋体" w:hAnsi="宋体" w:cs="宋体"/>
          <w:i w:val="0"/>
          <w:caps w:val="0"/>
          <w:color w:val="333333"/>
          <w:spacing w:val="0"/>
          <w:sz w:val="24"/>
          <w:szCs w:val="24"/>
          <w:shd w:val="clear" w:fill="FFFFFF"/>
          <w:lang w:val="en-US" w:eastAsia="zh-CN"/>
        </w:rPr>
        <w:t>3个工作日</w:t>
      </w:r>
      <w:r>
        <w:rPr>
          <w:rFonts w:hint="eastAsia" w:ascii="宋体" w:hAnsi="宋体" w:eastAsia="宋体" w:cs="宋体"/>
          <w:i w:val="0"/>
          <w:caps w:val="0"/>
          <w:color w:val="333333"/>
          <w:spacing w:val="0"/>
          <w:sz w:val="24"/>
          <w:szCs w:val="24"/>
          <w:shd w:val="clear" w:fill="FFFFFF"/>
        </w:rPr>
        <w:t>内退还，不计息</w:t>
      </w:r>
      <w:r>
        <w:rPr>
          <w:rFonts w:hint="eastAsia" w:ascii="宋体" w:hAnsi="宋体" w:cs="宋体"/>
          <w:i w:val="0"/>
          <w:caps w:val="0"/>
          <w:color w:val="333333"/>
          <w:spacing w:val="0"/>
          <w:sz w:val="24"/>
          <w:szCs w:val="24"/>
          <w:shd w:val="clear" w:fill="FFFFFF"/>
          <w:lang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五、本次拍卖以增价方本次拍卖以增价方式进行。拍卖师有权临时调整加价幅度。</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六、本次拍卖设保留价，竞买人的最高应价达不到保留价时不能成交。</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七、拍卖成交后，买受人须在拍卖成交当日与拍卖人签订《拍卖成交确认书》，未能签署的不影响成交效力，以网络拍卖平台确认为准。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default" w:ascii="微软雅黑" w:hAnsi="微软雅黑" w:eastAsia="宋体" w:cs="微软雅黑"/>
          <w:i w:val="0"/>
          <w:caps w:val="0"/>
          <w:color w:val="333333"/>
          <w:spacing w:val="0"/>
          <w:sz w:val="21"/>
          <w:szCs w:val="21"/>
          <w:lang w:val="en-US" w:eastAsia="zh-CN"/>
        </w:rPr>
      </w:pPr>
      <w:r>
        <w:rPr>
          <w:rFonts w:hint="eastAsia" w:ascii="宋体" w:hAnsi="宋体" w:eastAsia="宋体" w:cs="宋体"/>
          <w:i w:val="0"/>
          <w:caps w:val="0"/>
          <w:color w:val="333333"/>
          <w:spacing w:val="0"/>
          <w:sz w:val="24"/>
          <w:szCs w:val="24"/>
          <w:shd w:val="clear" w:fill="FFFFFF"/>
        </w:rPr>
        <w:t>八、拍卖成交后，买受人需在拍卖成交之日起</w:t>
      </w:r>
      <w:r>
        <w:rPr>
          <w:rFonts w:hint="eastAsia" w:ascii="宋体" w:hAnsi="宋体" w:cs="宋体"/>
          <w:i w:val="0"/>
          <w:caps w:val="0"/>
          <w:color w:val="333333"/>
          <w:spacing w:val="0"/>
          <w:sz w:val="24"/>
          <w:szCs w:val="24"/>
          <w:shd w:val="clear" w:fill="FFFFFF"/>
          <w:lang w:val="en-US" w:eastAsia="zh-CN"/>
        </w:rPr>
        <w:t>5个工作日</w:t>
      </w:r>
      <w:r>
        <w:rPr>
          <w:rFonts w:hint="eastAsia" w:ascii="宋体" w:hAnsi="宋体" w:eastAsia="宋体" w:cs="宋体"/>
          <w:i w:val="0"/>
          <w:caps w:val="0"/>
          <w:color w:val="333333"/>
          <w:spacing w:val="0"/>
          <w:sz w:val="24"/>
          <w:szCs w:val="24"/>
          <w:shd w:val="clear" w:fill="FFFFFF"/>
        </w:rPr>
        <w:t>内将全部拍卖成交价款</w:t>
      </w:r>
      <w:r>
        <w:rPr>
          <w:rFonts w:hint="eastAsia" w:ascii="宋体" w:hAnsi="宋体" w:cs="宋体"/>
          <w:i w:val="0"/>
          <w:caps w:val="0"/>
          <w:color w:val="333333"/>
          <w:spacing w:val="0"/>
          <w:sz w:val="24"/>
          <w:szCs w:val="24"/>
          <w:shd w:val="clear" w:fill="FFFFFF"/>
          <w:lang w:eastAsia="zh-CN"/>
        </w:rPr>
        <w:t>及佣金</w:t>
      </w:r>
      <w:r>
        <w:rPr>
          <w:rFonts w:hint="eastAsia" w:ascii="宋体" w:hAnsi="宋体" w:eastAsia="宋体" w:cs="宋体"/>
          <w:i w:val="0"/>
          <w:caps w:val="0"/>
          <w:color w:val="333333"/>
          <w:spacing w:val="0"/>
          <w:sz w:val="24"/>
          <w:szCs w:val="24"/>
          <w:shd w:val="clear" w:fill="FFFFFF"/>
        </w:rPr>
        <w:t>支付到指定的帐户，并与委托人签署《债权转让协议》</w:t>
      </w:r>
      <w:r>
        <w:rPr>
          <w:rFonts w:hint="eastAsia" w:ascii="宋体" w:hAnsi="宋体" w:cs="宋体"/>
          <w:i w:val="0"/>
          <w:caps w:val="0"/>
          <w:color w:val="333333"/>
          <w:spacing w:val="0"/>
          <w:sz w:val="24"/>
          <w:szCs w:val="24"/>
          <w:shd w:val="clear" w:fill="FFFFFF"/>
          <w:lang w:val="en-US"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九、买受人有下列行为之一的，视为违约：</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1、网络成交后，买受人反悔的；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2、买受人逾期或拒绝签订《成交确认书》、《债权转让协议》的；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3、买受人逾期或拒绝按照《成交确认书》的约定支付拍卖成交价款的。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买受人违约的，委托人和拍卖人有权取消其买受人资格，并有权不予返还其竞买保证金。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  十、买受人付清拍卖成交价款后，方可获取拍卖标的，由委托人与买受人直接交接，且以标的现状交付。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bookmarkStart w:id="1" w:name="_GoBack"/>
      <w:bookmarkEnd w:id="1"/>
      <w:r>
        <w:rPr>
          <w:rFonts w:hint="eastAsia" w:ascii="宋体" w:hAnsi="宋体" w:eastAsia="宋体" w:cs="宋体"/>
          <w:i w:val="0"/>
          <w:caps w:val="0"/>
          <w:color w:val="333333"/>
          <w:spacing w:val="0"/>
          <w:sz w:val="24"/>
          <w:szCs w:val="24"/>
          <w:shd w:val="clear" w:fill="FFFFFF"/>
        </w:rPr>
        <w:t>十</w:t>
      </w:r>
      <w:r>
        <w:rPr>
          <w:rFonts w:hint="eastAsia" w:ascii="宋体" w:hAnsi="宋体" w:cs="宋体"/>
          <w:i w:val="0"/>
          <w:caps w:val="0"/>
          <w:color w:val="333333"/>
          <w:spacing w:val="0"/>
          <w:sz w:val="24"/>
          <w:szCs w:val="24"/>
          <w:shd w:val="clear" w:fill="FFFFFF"/>
          <w:lang w:eastAsia="zh-CN"/>
        </w:rPr>
        <w:t>一</w:t>
      </w:r>
      <w:r>
        <w:rPr>
          <w:rFonts w:hint="eastAsia" w:ascii="宋体" w:hAnsi="宋体" w:eastAsia="宋体" w:cs="宋体"/>
          <w:i w:val="0"/>
          <w:caps w:val="0"/>
          <w:color w:val="333333"/>
          <w:spacing w:val="0"/>
          <w:sz w:val="24"/>
          <w:szCs w:val="24"/>
          <w:shd w:val="clear" w:fill="FFFFFF"/>
        </w:rPr>
        <w:t>、本《拍卖规则》解释权归光彩银星拍卖有限公司。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微软雅黑" w:hAnsi="微软雅黑" w:eastAsia="微软雅黑" w:cs="微软雅黑"/>
          <w:i w:val="0"/>
          <w:caps w:val="0"/>
          <w:color w:val="333333"/>
          <w:spacing w:val="0"/>
          <w:sz w:val="21"/>
          <w:szCs w:val="21"/>
        </w:rPr>
      </w:pPr>
      <w:r>
        <w:rPr>
          <w:rStyle w:val="13"/>
          <w:rFonts w:hint="eastAsia" w:ascii="宋体" w:hAnsi="宋体" w:eastAsia="宋体" w:cs="宋体"/>
          <w:i w:val="0"/>
          <w:caps w:val="0"/>
          <w:color w:val="333333"/>
          <w:spacing w:val="0"/>
          <w:sz w:val="24"/>
          <w:szCs w:val="24"/>
          <w:shd w:val="clear" w:fill="FFFFFF"/>
        </w:rPr>
        <w:t>竞买人已经在展示时间内认真查看了上述拍卖标的，了解标的一切现状，愿意按照标的的现状参加竞买，对标的展示无异议，认可、接受本《拍卖规则》的一切内容，并收到了本《拍卖规则》。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kinsoku/>
        <w:wordWrap/>
        <w:overflowPunct/>
        <w:topLinePunct w:val="0"/>
        <w:autoSpaceDE/>
        <w:autoSpaceDN/>
        <w:bidi w:val="0"/>
        <w:adjustRightInd/>
        <w:snapToGrid/>
        <w:spacing w:line="500" w:lineRule="exact"/>
        <w:ind w:firstLine="482" w:firstLineChars="200"/>
        <w:jc w:val="left"/>
        <w:textAlignment w:val="auto"/>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竞买人（盖章）：</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2" w:firstLineChars="200"/>
        <w:jc w:val="lef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法定代表人：</w:t>
      </w:r>
      <w:r>
        <w:rPr>
          <w:rStyle w:val="13"/>
          <w:rFonts w:hint="eastAsia" w:ascii="宋体" w:hAnsi="宋体" w:eastAsia="宋体" w:cs="宋体"/>
          <w:i w:val="0"/>
          <w:caps w:val="0"/>
          <w:color w:val="333333"/>
          <w:spacing w:val="0"/>
          <w:kern w:val="0"/>
          <w:sz w:val="24"/>
          <w:szCs w:val="24"/>
          <w:shd w:val="clear" w:fill="FFFFFF"/>
          <w:lang w:val="en-US" w:eastAsia="zh-CN" w:bidi="ar"/>
        </w:rPr>
        <w:br w:type="textWrapping"/>
      </w:r>
      <w:r>
        <w:rPr>
          <w:rStyle w:val="13"/>
          <w:rFonts w:hint="eastAsia" w:ascii="宋体" w:hAnsi="宋体" w:eastAsia="宋体" w:cs="宋体"/>
          <w:i w:val="0"/>
          <w:caps w:val="0"/>
          <w:color w:val="333333"/>
          <w:spacing w:val="0"/>
          <w:kern w:val="0"/>
          <w:sz w:val="24"/>
          <w:szCs w:val="24"/>
          <w:shd w:val="clear" w:fill="FFFFFF"/>
          <w:lang w:val="en-US" w:eastAsia="zh-CN" w:bidi="ar"/>
        </w:rPr>
        <w:t xml:space="preserve">    或委托代理人（签名）：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2" w:firstLineChars="200"/>
        <w:jc w:val="righ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 xml:space="preserve"> 光彩银星拍卖有限公司 </w:t>
      </w:r>
    </w:p>
    <w:p>
      <w:pPr>
        <w:keepNext w:val="0"/>
        <w:keepLines w:val="0"/>
        <w:pageBreakBefore w:val="0"/>
        <w:kinsoku/>
        <w:wordWrap/>
        <w:overflowPunct/>
        <w:topLinePunct w:val="0"/>
        <w:autoSpaceDE/>
        <w:autoSpaceDN/>
        <w:bidi w:val="0"/>
        <w:adjustRightInd/>
        <w:snapToGrid/>
        <w:spacing w:line="500" w:lineRule="exact"/>
        <w:ind w:firstLine="562" w:firstLineChars="200"/>
        <w:jc w:val="right"/>
        <w:textAlignment w:val="auto"/>
        <w:rPr>
          <w:rFonts w:hint="eastAsia" w:ascii="仿宋" w:hAnsi="仿宋" w:eastAsia="仿宋"/>
          <w:color w:val="000000"/>
          <w:sz w:val="28"/>
          <w:szCs w:val="28"/>
        </w:rPr>
      </w:pPr>
      <w:r>
        <w:rPr>
          <w:rFonts w:hint="eastAsia" w:ascii="仿宋" w:hAnsi="仿宋" w:eastAsia="仿宋" w:cs="仿宋"/>
          <w:b/>
          <w:bCs/>
          <w:color w:val="000000"/>
          <w:sz w:val="28"/>
          <w:szCs w:val="28"/>
        </w:rPr>
        <w:t>二O一</w:t>
      </w:r>
      <w:r>
        <w:rPr>
          <w:rFonts w:hint="eastAsia" w:ascii="仿宋" w:hAnsi="仿宋" w:eastAsia="仿宋" w:cs="仿宋"/>
          <w:b/>
          <w:bCs/>
          <w:color w:val="000000"/>
          <w:sz w:val="28"/>
          <w:szCs w:val="28"/>
          <w:lang w:eastAsia="zh-CN"/>
        </w:rPr>
        <w:t>九</w:t>
      </w:r>
      <w:r>
        <w:rPr>
          <w:rFonts w:hint="eastAsia" w:ascii="仿宋" w:hAnsi="仿宋" w:eastAsia="仿宋" w:cs="仿宋"/>
          <w:b/>
          <w:bCs/>
          <w:color w:val="000000"/>
          <w:sz w:val="28"/>
          <w:szCs w:val="28"/>
        </w:rPr>
        <w:t>年</w:t>
      </w:r>
      <w:r>
        <w:rPr>
          <w:rFonts w:hint="eastAsia" w:ascii="仿宋" w:hAnsi="仿宋" w:eastAsia="仿宋" w:cs="仿宋"/>
          <w:b/>
          <w:bCs/>
          <w:color w:val="000000"/>
          <w:sz w:val="28"/>
          <w:szCs w:val="28"/>
          <w:lang w:val="en-US" w:eastAsia="zh-CN"/>
        </w:rPr>
        <w:t>十二</w:t>
      </w:r>
      <w:r>
        <w:rPr>
          <w:rFonts w:hint="eastAsia" w:ascii="仿宋" w:hAnsi="仿宋" w:eastAsia="仿宋" w:cs="仿宋"/>
          <w:b/>
          <w:bCs/>
          <w:color w:val="000000"/>
          <w:sz w:val="28"/>
          <w:szCs w:val="28"/>
        </w:rPr>
        <w:t>月</w:t>
      </w:r>
      <w:r>
        <w:rPr>
          <w:rFonts w:hint="eastAsia" w:ascii="仿宋" w:hAnsi="仿宋" w:eastAsia="仿宋" w:cs="仿宋"/>
          <w:b/>
          <w:bCs/>
          <w:color w:val="000000"/>
          <w:sz w:val="28"/>
          <w:szCs w:val="28"/>
          <w:lang w:val="en-US" w:eastAsia="zh-CN"/>
        </w:rPr>
        <w:t>十三</w:t>
      </w:r>
      <w:r>
        <w:rPr>
          <w:rFonts w:hint="eastAsia" w:ascii="仿宋" w:hAnsi="仿宋" w:eastAsia="仿宋" w:cs="仿宋"/>
          <w:b/>
          <w:bCs/>
          <w:color w:val="000000"/>
          <w:sz w:val="28"/>
          <w:szCs w:val="28"/>
        </w:rPr>
        <w:t>日</w:t>
      </w:r>
      <w:r>
        <w:rPr>
          <w:rFonts w:hint="eastAsia" w:ascii="仿宋" w:hAnsi="仿宋" w:eastAsia="仿宋" w:cs="仿宋"/>
          <w:b/>
          <w:bCs/>
          <w:i w:val="0"/>
          <w:caps w:val="0"/>
          <w:color w:val="333333"/>
          <w:spacing w:val="0"/>
          <w:kern w:val="0"/>
          <w:sz w:val="28"/>
          <w:szCs w:val="28"/>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2" w:firstLineChars="200"/>
        <w:jc w:val="righ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tabs>
          <w:tab w:val="left" w:pos="2520"/>
        </w:tabs>
        <w:kinsoku/>
        <w:wordWrap w:val="0"/>
        <w:overflowPunct/>
        <w:topLinePunct w:val="0"/>
        <w:autoSpaceDE/>
        <w:autoSpaceDN/>
        <w:bidi w:val="0"/>
        <w:adjustRightInd/>
        <w:snapToGrid/>
        <w:spacing w:line="400" w:lineRule="exact"/>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 xml:space="preserve"> </w:t>
      </w:r>
      <w:bookmarkEnd w:id="0"/>
    </w:p>
    <w:sectPr>
      <w:headerReference r:id="rId3" w:type="default"/>
      <w:footerReference r:id="rId4" w:type="even"/>
      <w:pgSz w:w="11906" w:h="16838"/>
      <w:pgMar w:top="991" w:right="1081" w:bottom="947" w:left="1165"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fldChar w:fldCharType="begin"/>
    </w:r>
    <w:r>
      <w:rPr>
        <w:rStyle w:val="14"/>
      </w:rPr>
      <w:instrText xml:space="preserve">PAGE  </w:instrText>
    </w:r>
    <w:r>
      <w:fldChar w:fldCharType="separate"/>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AA2395"/>
    <w:rsid w:val="00AE233D"/>
    <w:rsid w:val="00F64EF0"/>
    <w:rsid w:val="015A2E05"/>
    <w:rsid w:val="02AF1D28"/>
    <w:rsid w:val="0385359F"/>
    <w:rsid w:val="04014823"/>
    <w:rsid w:val="04F87B2A"/>
    <w:rsid w:val="05C81FBC"/>
    <w:rsid w:val="067F08FD"/>
    <w:rsid w:val="06893D04"/>
    <w:rsid w:val="07301B33"/>
    <w:rsid w:val="07DE5025"/>
    <w:rsid w:val="08914EF3"/>
    <w:rsid w:val="09E45ACF"/>
    <w:rsid w:val="0A603B75"/>
    <w:rsid w:val="0A635A27"/>
    <w:rsid w:val="0AAA5A38"/>
    <w:rsid w:val="0CCB71DE"/>
    <w:rsid w:val="0CFF139B"/>
    <w:rsid w:val="0D3C294A"/>
    <w:rsid w:val="0DB967DB"/>
    <w:rsid w:val="0DD76853"/>
    <w:rsid w:val="0FD37BF6"/>
    <w:rsid w:val="10EC3455"/>
    <w:rsid w:val="12D92771"/>
    <w:rsid w:val="1321032B"/>
    <w:rsid w:val="172511D3"/>
    <w:rsid w:val="1733612F"/>
    <w:rsid w:val="17BF6828"/>
    <w:rsid w:val="182E1E94"/>
    <w:rsid w:val="187F1529"/>
    <w:rsid w:val="1B0C61E2"/>
    <w:rsid w:val="1B405B91"/>
    <w:rsid w:val="1BA00982"/>
    <w:rsid w:val="1BD821C9"/>
    <w:rsid w:val="1C901686"/>
    <w:rsid w:val="1CA84CCA"/>
    <w:rsid w:val="1EEA2886"/>
    <w:rsid w:val="1F2D6B9F"/>
    <w:rsid w:val="1F4320CE"/>
    <w:rsid w:val="1F587512"/>
    <w:rsid w:val="1F9A2CE3"/>
    <w:rsid w:val="201B5713"/>
    <w:rsid w:val="20205569"/>
    <w:rsid w:val="205A56BD"/>
    <w:rsid w:val="221A449A"/>
    <w:rsid w:val="22497819"/>
    <w:rsid w:val="22563396"/>
    <w:rsid w:val="22FF766C"/>
    <w:rsid w:val="23383A2C"/>
    <w:rsid w:val="23730E85"/>
    <w:rsid w:val="242E24DC"/>
    <w:rsid w:val="24894950"/>
    <w:rsid w:val="25863755"/>
    <w:rsid w:val="261847C7"/>
    <w:rsid w:val="265A5AD5"/>
    <w:rsid w:val="27CD1DE1"/>
    <w:rsid w:val="285C17EC"/>
    <w:rsid w:val="28A52C94"/>
    <w:rsid w:val="2AC73E73"/>
    <w:rsid w:val="2C926EF8"/>
    <w:rsid w:val="2D4C18D0"/>
    <w:rsid w:val="2D862465"/>
    <w:rsid w:val="2DE65774"/>
    <w:rsid w:val="2E5E3276"/>
    <w:rsid w:val="2F5312A2"/>
    <w:rsid w:val="308D4317"/>
    <w:rsid w:val="30AC0358"/>
    <w:rsid w:val="30AC207D"/>
    <w:rsid w:val="30F31E4D"/>
    <w:rsid w:val="34D71581"/>
    <w:rsid w:val="36203E85"/>
    <w:rsid w:val="36500FCC"/>
    <w:rsid w:val="37387C94"/>
    <w:rsid w:val="39242E96"/>
    <w:rsid w:val="3969123A"/>
    <w:rsid w:val="3C066E16"/>
    <w:rsid w:val="3C4F5DCE"/>
    <w:rsid w:val="3DB630F2"/>
    <w:rsid w:val="3EC15928"/>
    <w:rsid w:val="3FDC3784"/>
    <w:rsid w:val="40CA336D"/>
    <w:rsid w:val="42390C4C"/>
    <w:rsid w:val="43DD537B"/>
    <w:rsid w:val="44367803"/>
    <w:rsid w:val="44521830"/>
    <w:rsid w:val="44B64AA4"/>
    <w:rsid w:val="44BC4669"/>
    <w:rsid w:val="44BD2398"/>
    <w:rsid w:val="4727286F"/>
    <w:rsid w:val="47D95691"/>
    <w:rsid w:val="48316BCD"/>
    <w:rsid w:val="48BB28F5"/>
    <w:rsid w:val="49522183"/>
    <w:rsid w:val="49547170"/>
    <w:rsid w:val="4B5F3E20"/>
    <w:rsid w:val="4C825254"/>
    <w:rsid w:val="4D531834"/>
    <w:rsid w:val="4E2F6425"/>
    <w:rsid w:val="4E8F3C84"/>
    <w:rsid w:val="508D4606"/>
    <w:rsid w:val="50BE54B7"/>
    <w:rsid w:val="51E8387D"/>
    <w:rsid w:val="54020070"/>
    <w:rsid w:val="55CF367F"/>
    <w:rsid w:val="56377E31"/>
    <w:rsid w:val="56A039E6"/>
    <w:rsid w:val="57012BD2"/>
    <w:rsid w:val="5726074A"/>
    <w:rsid w:val="587B6098"/>
    <w:rsid w:val="59174676"/>
    <w:rsid w:val="597F7BCF"/>
    <w:rsid w:val="5BCB7EDE"/>
    <w:rsid w:val="5BFE4B6D"/>
    <w:rsid w:val="5C057000"/>
    <w:rsid w:val="5C1E1110"/>
    <w:rsid w:val="5C5B34A8"/>
    <w:rsid w:val="5C7F41B3"/>
    <w:rsid w:val="5C836238"/>
    <w:rsid w:val="5CD965D6"/>
    <w:rsid w:val="5D3600A3"/>
    <w:rsid w:val="5D447242"/>
    <w:rsid w:val="5D9A4840"/>
    <w:rsid w:val="5DCA14BC"/>
    <w:rsid w:val="5EB30786"/>
    <w:rsid w:val="5F8F6EFD"/>
    <w:rsid w:val="5FB63591"/>
    <w:rsid w:val="60F352BD"/>
    <w:rsid w:val="61E47313"/>
    <w:rsid w:val="62332BA5"/>
    <w:rsid w:val="62625FBF"/>
    <w:rsid w:val="630920CD"/>
    <w:rsid w:val="64EF4089"/>
    <w:rsid w:val="65603FBA"/>
    <w:rsid w:val="65C46A55"/>
    <w:rsid w:val="66144BF5"/>
    <w:rsid w:val="662E2B92"/>
    <w:rsid w:val="679601EE"/>
    <w:rsid w:val="68F26432"/>
    <w:rsid w:val="69375DE8"/>
    <w:rsid w:val="6A9928BD"/>
    <w:rsid w:val="6AF456DC"/>
    <w:rsid w:val="6F11494C"/>
    <w:rsid w:val="6FA86998"/>
    <w:rsid w:val="713D786D"/>
    <w:rsid w:val="71752F89"/>
    <w:rsid w:val="73951CAC"/>
    <w:rsid w:val="75250F8C"/>
    <w:rsid w:val="75B262FB"/>
    <w:rsid w:val="75D80883"/>
    <w:rsid w:val="76AF4D57"/>
    <w:rsid w:val="784E46E3"/>
    <w:rsid w:val="7A9D0A25"/>
    <w:rsid w:val="7D0A744E"/>
    <w:rsid w:val="7D447F01"/>
    <w:rsid w:val="7DA872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_GB2312" w:hAnsi="宋体" w:eastAsia="仿宋_GB2312"/>
      <w:sz w:val="28"/>
      <w:szCs w:val="24"/>
    </w:rPr>
  </w:style>
  <w:style w:type="paragraph" w:styleId="3">
    <w:name w:val="Body Text Indent"/>
    <w:basedOn w:val="1"/>
    <w:qFormat/>
    <w:uiPriority w:val="0"/>
    <w:pPr>
      <w:ind w:left="-178" w:leftChars="-85" w:firstLine="178" w:firstLineChars="74"/>
    </w:pPr>
    <w:rPr>
      <w:rFonts w:ascii="宋体" w:hAnsi="宋体"/>
      <w:sz w:val="24"/>
      <w:szCs w:val="24"/>
    </w:rPr>
  </w:style>
  <w:style w:type="paragraph" w:styleId="4">
    <w:name w:val="Body Text Indent 2"/>
    <w:basedOn w:val="1"/>
    <w:qFormat/>
    <w:uiPriority w:val="0"/>
    <w:pPr>
      <w:ind w:firstLine="538" w:firstLineChars="192"/>
    </w:pPr>
    <w:rPr>
      <w:rFonts w:ascii="宋体" w:hAnsi="宋体"/>
      <w:sz w:val="28"/>
      <w:szCs w:val="24"/>
    </w:r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ind w:firstLine="560" w:firstLineChars="200"/>
    </w:pPr>
    <w:rPr>
      <w:rFonts w:ascii="宋体" w:hAnsi="宋体"/>
      <w:sz w:val="28"/>
      <w:szCs w:val="24"/>
    </w:rPr>
  </w:style>
  <w:style w:type="paragraph" w:styleId="9">
    <w:name w:val="Body Text 2"/>
    <w:basedOn w:val="1"/>
    <w:qFormat/>
    <w:uiPriority w:val="0"/>
    <w:pPr>
      <w:spacing w:after="120" w:afterLines="0" w:line="480" w:lineRule="auto"/>
    </w:p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Strong"/>
    <w:basedOn w:val="12"/>
    <w:qFormat/>
    <w:uiPriority w:val="0"/>
    <w:rPr>
      <w:b/>
    </w:rPr>
  </w:style>
  <w:style w:type="character" w:styleId="14">
    <w:name w:val="page number"/>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kkk</Company>
  <Pages>1</Pages>
  <Words>275</Words>
  <Characters>1568</Characters>
  <Lines>13</Lines>
  <Paragraphs>3</Paragraphs>
  <TotalTime>1</TotalTime>
  <ScaleCrop>false</ScaleCrop>
  <LinksUpToDate>false</LinksUpToDate>
  <CharactersWithSpaces>1840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2007-06-19T01:14:00Z</dcterms:created>
  <dc:creator>ww</dc:creator>
  <cp:lastModifiedBy>洪力网张海峰18678653936</cp:lastModifiedBy>
  <cp:lastPrinted>2019-01-12T06:59:00Z</cp:lastPrinted>
  <dcterms:modified xsi:type="dcterms:W3CDTF">2019-12-12T01:53:34Z</dcterms:modified>
  <dc:title>拍卖规则</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